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ED" w:rsidRDefault="00CF2132" w:rsidP="00CF2132">
      <w:pPr>
        <w:jc w:val="center"/>
      </w:pPr>
      <w:r>
        <w:rPr>
          <w:noProof/>
          <w:lang w:eastAsia="fr-FR"/>
        </w:rPr>
        <w:drawing>
          <wp:inline distT="0" distB="0" distL="0" distR="0" wp14:anchorId="04AC52AC" wp14:editId="61EC42E9">
            <wp:extent cx="768096" cy="848563"/>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69289" cy="849881"/>
                    </a:xfrm>
                    <a:prstGeom prst="rect">
                      <a:avLst/>
                    </a:prstGeom>
                    <a:noFill/>
                    <a:ln w="9525">
                      <a:noFill/>
                      <a:miter lim="800000"/>
                      <a:headEnd/>
                      <a:tailEnd/>
                    </a:ln>
                  </pic:spPr>
                </pic:pic>
              </a:graphicData>
            </a:graphic>
          </wp:inline>
        </w:drawing>
      </w:r>
    </w:p>
    <w:p w:rsidR="00CF2132" w:rsidRPr="00F82C08" w:rsidRDefault="00CF2132" w:rsidP="00CF2132">
      <w:pPr>
        <w:spacing w:after="0"/>
        <w:jc w:val="center"/>
        <w:rPr>
          <w:b/>
          <w:color w:val="0000FF"/>
        </w:rPr>
      </w:pPr>
      <w:r w:rsidRPr="00F82C08">
        <w:rPr>
          <w:b/>
          <w:color w:val="0000FF"/>
        </w:rPr>
        <w:t>FICHE DE POSTE STAGIAIRE</w:t>
      </w:r>
    </w:p>
    <w:p w:rsidR="00CF2132" w:rsidRDefault="00CF2132" w:rsidP="00CF2132">
      <w:pPr>
        <w:spacing w:after="0"/>
        <w:rPr>
          <w:sz w:val="20"/>
          <w:szCs w:val="20"/>
        </w:rPr>
      </w:pPr>
    </w:p>
    <w:p w:rsidR="00F82C08" w:rsidRPr="002659A6" w:rsidRDefault="00F82C08" w:rsidP="00CF2132">
      <w:pPr>
        <w:spacing w:after="0"/>
        <w:rPr>
          <w:sz w:val="20"/>
          <w:szCs w:val="20"/>
        </w:rPr>
      </w:pPr>
    </w:p>
    <w:tbl>
      <w:tblPr>
        <w:tblStyle w:val="Grilledutableau"/>
        <w:tblW w:w="0" w:type="auto"/>
        <w:tblLook w:val="04A0" w:firstRow="1" w:lastRow="0" w:firstColumn="1" w:lastColumn="0" w:noHBand="0" w:noVBand="1"/>
      </w:tblPr>
      <w:tblGrid>
        <w:gridCol w:w="9062"/>
      </w:tblGrid>
      <w:tr w:rsidR="00CF2132" w:rsidTr="00CF2132">
        <w:trPr>
          <w:trHeight w:val="464"/>
        </w:trPr>
        <w:tc>
          <w:tcPr>
            <w:tcW w:w="9062" w:type="dxa"/>
            <w:vAlign w:val="center"/>
          </w:tcPr>
          <w:p w:rsidR="00CF2132" w:rsidRPr="000E2152" w:rsidRDefault="00CF2132" w:rsidP="009960C5">
            <w:pPr>
              <w:spacing w:after="40"/>
              <w:jc w:val="center"/>
              <w:rPr>
                <w:color w:val="0000FF"/>
              </w:rPr>
            </w:pPr>
            <w:r w:rsidRPr="00895B61">
              <w:rPr>
                <w:b/>
                <w:bCs/>
                <w:color w:val="0000FF"/>
              </w:rPr>
              <w:t>DENOMINATION</w:t>
            </w:r>
            <w:r w:rsidRPr="000E2152">
              <w:rPr>
                <w:b/>
                <w:bCs/>
                <w:color w:val="0000FF"/>
              </w:rPr>
              <w:t xml:space="preserve"> DE L'EMPLOI</w:t>
            </w:r>
          </w:p>
        </w:tc>
      </w:tr>
      <w:tr w:rsidR="00CF2132" w:rsidTr="00F82C08">
        <w:trPr>
          <w:trHeight w:val="1144"/>
        </w:trPr>
        <w:tc>
          <w:tcPr>
            <w:tcW w:w="9062" w:type="dxa"/>
          </w:tcPr>
          <w:p w:rsidR="00852858" w:rsidRDefault="00852858" w:rsidP="00852858">
            <w:pPr>
              <w:jc w:val="center"/>
              <w:rPr>
                <w:b/>
                <w:color w:val="0000FF"/>
              </w:rPr>
            </w:pPr>
          </w:p>
          <w:p w:rsidR="00F82C08" w:rsidRPr="00895B61" w:rsidRDefault="00852858" w:rsidP="00852858">
            <w:pPr>
              <w:jc w:val="center"/>
              <w:rPr>
                <w:b/>
                <w:color w:val="0000FF"/>
              </w:rPr>
            </w:pPr>
            <w:r>
              <w:rPr>
                <w:b/>
                <w:color w:val="0000FF"/>
              </w:rPr>
              <w:t xml:space="preserve">Stagiaire en </w:t>
            </w:r>
            <w:r w:rsidR="00F82C08" w:rsidRPr="00F82C08">
              <w:rPr>
                <w:b/>
                <w:color w:val="0000FF"/>
              </w:rPr>
              <w:t>Gestion des données et des connaissances</w:t>
            </w:r>
          </w:p>
          <w:p w:rsidR="00852858" w:rsidRPr="00852858" w:rsidRDefault="00852858" w:rsidP="00852858">
            <w:pPr>
              <w:autoSpaceDE w:val="0"/>
              <w:autoSpaceDN w:val="0"/>
              <w:adjustRightInd w:val="0"/>
              <w:spacing w:line="276" w:lineRule="auto"/>
              <w:jc w:val="center"/>
              <w:rPr>
                <w:bCs/>
                <w:color w:val="000000"/>
              </w:rPr>
            </w:pPr>
            <w:proofErr w:type="gramStart"/>
            <w:r w:rsidRPr="00852858">
              <w:rPr>
                <w:bCs/>
                <w:color w:val="000000"/>
              </w:rPr>
              <w:t>à</w:t>
            </w:r>
            <w:proofErr w:type="gramEnd"/>
            <w:r w:rsidRPr="00852858">
              <w:rPr>
                <w:bCs/>
                <w:color w:val="000000"/>
              </w:rPr>
              <w:t xml:space="preserve"> l’Inspection générale des affaires sociales</w:t>
            </w:r>
          </w:p>
          <w:p w:rsidR="00CF2132" w:rsidRPr="00233920" w:rsidRDefault="00CF2132" w:rsidP="00852858">
            <w:pPr>
              <w:autoSpaceDE w:val="0"/>
              <w:autoSpaceDN w:val="0"/>
              <w:adjustRightInd w:val="0"/>
              <w:rPr>
                <w:b/>
                <w:bCs/>
                <w:color w:val="000000"/>
                <w:sz w:val="16"/>
                <w:szCs w:val="16"/>
              </w:rPr>
            </w:pPr>
          </w:p>
        </w:tc>
      </w:tr>
      <w:tr w:rsidR="00CF2132" w:rsidTr="00CF2132">
        <w:trPr>
          <w:trHeight w:val="449"/>
        </w:trPr>
        <w:tc>
          <w:tcPr>
            <w:tcW w:w="9062" w:type="dxa"/>
            <w:vAlign w:val="center"/>
          </w:tcPr>
          <w:p w:rsidR="00CF2132" w:rsidRPr="000E2152" w:rsidRDefault="00CF2132" w:rsidP="009960C5">
            <w:pPr>
              <w:spacing w:after="40"/>
              <w:jc w:val="center"/>
              <w:rPr>
                <w:color w:val="0000FF"/>
              </w:rPr>
            </w:pPr>
            <w:r w:rsidRPr="000E2152">
              <w:rPr>
                <w:b/>
                <w:bCs/>
                <w:color w:val="0000FF"/>
              </w:rPr>
              <w:t>LOCALISATION GEOGRAPHIQUE</w:t>
            </w:r>
          </w:p>
        </w:tc>
      </w:tr>
      <w:tr w:rsidR="00CF2132" w:rsidTr="00CF2132">
        <w:tc>
          <w:tcPr>
            <w:tcW w:w="9062" w:type="dxa"/>
          </w:tcPr>
          <w:p w:rsidR="00CF2132" w:rsidRPr="000E2152" w:rsidRDefault="00CF2132" w:rsidP="009960C5">
            <w:pPr>
              <w:autoSpaceDE w:val="0"/>
              <w:autoSpaceDN w:val="0"/>
              <w:adjustRightInd w:val="0"/>
              <w:spacing w:before="120"/>
              <w:jc w:val="center"/>
              <w:rPr>
                <w:bCs/>
                <w:color w:val="000000"/>
                <w:sz w:val="20"/>
                <w:szCs w:val="20"/>
              </w:rPr>
            </w:pPr>
            <w:r w:rsidRPr="000E2152">
              <w:rPr>
                <w:bCs/>
                <w:color w:val="000000"/>
                <w:sz w:val="20"/>
                <w:szCs w:val="20"/>
              </w:rPr>
              <w:t>Tour Mirabeau - 39/43 Quai André Citroën - 75739 PARIS CEDEX 15</w:t>
            </w:r>
          </w:p>
          <w:p w:rsidR="00CF2132" w:rsidRDefault="00CF2132" w:rsidP="009960C5">
            <w:pPr>
              <w:autoSpaceDE w:val="0"/>
              <w:autoSpaceDN w:val="0"/>
              <w:adjustRightInd w:val="0"/>
              <w:jc w:val="center"/>
              <w:rPr>
                <w:bCs/>
                <w:color w:val="000000"/>
                <w:sz w:val="20"/>
                <w:szCs w:val="20"/>
              </w:rPr>
            </w:pPr>
            <w:r w:rsidRPr="000E2152">
              <w:rPr>
                <w:bCs/>
                <w:color w:val="000000"/>
                <w:sz w:val="20"/>
                <w:szCs w:val="20"/>
              </w:rPr>
              <w:t>Métro : Javel-André Citroën (ligne 10) RER C : Javel et Bus 88-62</w:t>
            </w:r>
            <w:r w:rsidR="00125409">
              <w:rPr>
                <w:bCs/>
                <w:color w:val="000000"/>
                <w:sz w:val="20"/>
                <w:szCs w:val="20"/>
              </w:rPr>
              <w:t>-30</w:t>
            </w:r>
          </w:p>
          <w:p w:rsidR="00CF2132" w:rsidRPr="00233920" w:rsidRDefault="00CF2132" w:rsidP="009960C5">
            <w:pPr>
              <w:autoSpaceDE w:val="0"/>
              <w:autoSpaceDN w:val="0"/>
              <w:adjustRightInd w:val="0"/>
              <w:jc w:val="center"/>
              <w:rPr>
                <w:bCs/>
                <w:color w:val="000000"/>
                <w:sz w:val="16"/>
                <w:szCs w:val="16"/>
              </w:rPr>
            </w:pPr>
          </w:p>
        </w:tc>
      </w:tr>
      <w:tr w:rsidR="00CF2132" w:rsidTr="00CF2132">
        <w:trPr>
          <w:trHeight w:val="478"/>
        </w:trPr>
        <w:tc>
          <w:tcPr>
            <w:tcW w:w="9062" w:type="dxa"/>
            <w:vAlign w:val="center"/>
          </w:tcPr>
          <w:p w:rsidR="00CF2132" w:rsidRPr="000E2152" w:rsidRDefault="00CF2132" w:rsidP="009960C5">
            <w:pPr>
              <w:spacing w:after="40"/>
              <w:jc w:val="center"/>
              <w:rPr>
                <w:color w:val="0000FF"/>
              </w:rPr>
            </w:pPr>
            <w:r w:rsidRPr="000E2152">
              <w:rPr>
                <w:b/>
                <w:bCs/>
                <w:color w:val="0000FF"/>
              </w:rPr>
              <w:t>NATURE DE L'EMPLOI</w:t>
            </w:r>
          </w:p>
        </w:tc>
      </w:tr>
      <w:tr w:rsidR="00CF2132" w:rsidTr="00F82C08">
        <w:trPr>
          <w:trHeight w:val="4758"/>
        </w:trPr>
        <w:tc>
          <w:tcPr>
            <w:tcW w:w="9062" w:type="dxa"/>
          </w:tcPr>
          <w:p w:rsidR="00F82C08" w:rsidRPr="00F82C08" w:rsidRDefault="00F82C08" w:rsidP="00F82C08">
            <w:pPr>
              <w:autoSpaceDE w:val="0"/>
              <w:autoSpaceDN w:val="0"/>
              <w:adjustRightInd w:val="0"/>
              <w:ind w:left="164" w:right="309"/>
              <w:jc w:val="both"/>
              <w:rPr>
                <w:bCs/>
                <w:color w:val="000000"/>
                <w:sz w:val="20"/>
                <w:szCs w:val="20"/>
              </w:rPr>
            </w:pPr>
            <w:r>
              <w:rPr>
                <w:bCs/>
                <w:color w:val="000000"/>
                <w:sz w:val="20"/>
                <w:szCs w:val="20"/>
              </w:rPr>
              <w:t>S</w:t>
            </w:r>
            <w:r w:rsidRPr="00F82C08">
              <w:rPr>
                <w:bCs/>
                <w:color w:val="000000"/>
                <w:sz w:val="20"/>
                <w:szCs w:val="20"/>
              </w:rPr>
              <w:t>tage pour une durée de 3 mois ou plus</w:t>
            </w:r>
            <w:r w:rsidR="006D3C2A">
              <w:rPr>
                <w:bCs/>
                <w:color w:val="000000"/>
                <w:sz w:val="20"/>
                <w:szCs w:val="20"/>
              </w:rPr>
              <w:t xml:space="preserve"> à compter du mois de mars, avril ou mai</w:t>
            </w:r>
            <w:r w:rsidR="003308DB">
              <w:rPr>
                <w:bCs/>
                <w:color w:val="000000"/>
                <w:sz w:val="20"/>
                <w:szCs w:val="20"/>
              </w:rPr>
              <w:t xml:space="preserve"> 2020</w:t>
            </w:r>
            <w:bookmarkStart w:id="0" w:name="_GoBack"/>
            <w:bookmarkEnd w:id="0"/>
          </w:p>
          <w:p w:rsidR="00F82C08" w:rsidRPr="00F82C08" w:rsidRDefault="00F82C08" w:rsidP="00F82C08">
            <w:pPr>
              <w:autoSpaceDE w:val="0"/>
              <w:autoSpaceDN w:val="0"/>
              <w:adjustRightInd w:val="0"/>
              <w:ind w:left="164" w:right="309"/>
              <w:jc w:val="both"/>
              <w:rPr>
                <w:bCs/>
                <w:color w:val="000000"/>
                <w:sz w:val="20"/>
                <w:szCs w:val="20"/>
              </w:rPr>
            </w:pPr>
          </w:p>
          <w:p w:rsidR="00F82C08" w:rsidRPr="00F82C08" w:rsidRDefault="00F82C08" w:rsidP="00F82C08">
            <w:pPr>
              <w:autoSpaceDE w:val="0"/>
              <w:autoSpaceDN w:val="0"/>
              <w:adjustRightInd w:val="0"/>
              <w:ind w:left="164" w:right="309"/>
              <w:jc w:val="both"/>
              <w:rPr>
                <w:bCs/>
                <w:color w:val="000000"/>
                <w:sz w:val="20"/>
                <w:szCs w:val="20"/>
              </w:rPr>
            </w:pPr>
            <w:r w:rsidRPr="00F82C08">
              <w:rPr>
                <w:bCs/>
                <w:color w:val="000000"/>
                <w:sz w:val="20"/>
                <w:szCs w:val="20"/>
              </w:rPr>
              <w:t>Dans le cadre du déploiement d’un portail de GED collaborative et de gestion des connaissances, vous contribuez activement au projet de mise en œuvre d’un POC (prototype) dont le para</w:t>
            </w:r>
            <w:r w:rsidR="003308DB">
              <w:rPr>
                <w:bCs/>
                <w:color w:val="000000"/>
                <w:sz w:val="20"/>
                <w:szCs w:val="20"/>
              </w:rPr>
              <w:t>métrage débute au 1er trimestre 2020</w:t>
            </w:r>
          </w:p>
          <w:p w:rsidR="00F82C08" w:rsidRPr="00F82C08" w:rsidRDefault="00F82C08" w:rsidP="00F82C08">
            <w:pPr>
              <w:autoSpaceDE w:val="0"/>
              <w:autoSpaceDN w:val="0"/>
              <w:adjustRightInd w:val="0"/>
              <w:ind w:left="164" w:right="309"/>
              <w:jc w:val="both"/>
              <w:rPr>
                <w:bCs/>
                <w:color w:val="000000"/>
                <w:sz w:val="20"/>
                <w:szCs w:val="20"/>
              </w:rPr>
            </w:pPr>
          </w:p>
          <w:p w:rsidR="00F82C08" w:rsidRPr="00F82C08" w:rsidRDefault="00F82C08" w:rsidP="00F82C08">
            <w:pPr>
              <w:autoSpaceDE w:val="0"/>
              <w:autoSpaceDN w:val="0"/>
              <w:adjustRightInd w:val="0"/>
              <w:ind w:left="164" w:right="309"/>
              <w:jc w:val="both"/>
              <w:rPr>
                <w:bCs/>
                <w:color w:val="000000"/>
                <w:sz w:val="20"/>
                <w:szCs w:val="20"/>
              </w:rPr>
            </w:pPr>
            <w:r w:rsidRPr="00F82C08">
              <w:rPr>
                <w:bCs/>
                <w:color w:val="000000"/>
                <w:sz w:val="20"/>
                <w:szCs w:val="20"/>
              </w:rPr>
              <w:t>Sous la responsabilité de la cheffe de projet Management digital de l’information, votre mission consistera à :</w:t>
            </w:r>
          </w:p>
          <w:p w:rsidR="00F82C08" w:rsidRPr="00F82C08" w:rsidRDefault="00F82C08" w:rsidP="00F82C08">
            <w:pPr>
              <w:autoSpaceDE w:val="0"/>
              <w:autoSpaceDN w:val="0"/>
              <w:adjustRightInd w:val="0"/>
              <w:ind w:left="164" w:right="309"/>
              <w:jc w:val="both"/>
              <w:rPr>
                <w:bCs/>
                <w:color w:val="000000"/>
                <w:sz w:val="20"/>
                <w:szCs w:val="20"/>
              </w:rPr>
            </w:pPr>
            <w:r w:rsidRPr="00F82C08">
              <w:rPr>
                <w:bCs/>
                <w:color w:val="000000"/>
                <w:sz w:val="20"/>
                <w:szCs w:val="20"/>
              </w:rPr>
              <w:t>- Préparer les données qui seront utilisées dans le POC, et dans la plateforme définitive</w:t>
            </w:r>
          </w:p>
          <w:p w:rsidR="00F82C08" w:rsidRPr="00F82C08" w:rsidRDefault="00F82C08" w:rsidP="00F82C08">
            <w:pPr>
              <w:autoSpaceDE w:val="0"/>
              <w:autoSpaceDN w:val="0"/>
              <w:adjustRightInd w:val="0"/>
              <w:ind w:left="164" w:right="309"/>
              <w:jc w:val="both"/>
              <w:rPr>
                <w:bCs/>
                <w:color w:val="000000"/>
                <w:sz w:val="20"/>
                <w:szCs w:val="20"/>
              </w:rPr>
            </w:pPr>
            <w:r w:rsidRPr="00F82C08">
              <w:rPr>
                <w:bCs/>
                <w:color w:val="000000"/>
                <w:sz w:val="20"/>
                <w:szCs w:val="20"/>
              </w:rPr>
              <w:t xml:space="preserve">          . Analyse des données collectées et conçues par les missions et par les fonctions transverses</w:t>
            </w:r>
          </w:p>
          <w:p w:rsidR="00F82C08" w:rsidRPr="00F82C08" w:rsidRDefault="00F82C08" w:rsidP="00F82C08">
            <w:pPr>
              <w:autoSpaceDE w:val="0"/>
              <w:autoSpaceDN w:val="0"/>
              <w:adjustRightInd w:val="0"/>
              <w:ind w:left="164" w:right="309"/>
              <w:jc w:val="both"/>
              <w:rPr>
                <w:bCs/>
                <w:color w:val="000000"/>
                <w:sz w:val="20"/>
                <w:szCs w:val="20"/>
              </w:rPr>
            </w:pPr>
            <w:r w:rsidRPr="00F82C08">
              <w:rPr>
                <w:bCs/>
                <w:color w:val="000000"/>
                <w:sz w:val="20"/>
                <w:szCs w:val="20"/>
              </w:rPr>
              <w:t xml:space="preserve">          . Sélection et indexation des données à valeur ajoutée</w:t>
            </w:r>
          </w:p>
          <w:p w:rsidR="00F82C08" w:rsidRPr="00F82C08" w:rsidRDefault="00F82C08" w:rsidP="00F82C08">
            <w:pPr>
              <w:autoSpaceDE w:val="0"/>
              <w:autoSpaceDN w:val="0"/>
              <w:adjustRightInd w:val="0"/>
              <w:ind w:left="164" w:right="309"/>
              <w:jc w:val="both"/>
              <w:rPr>
                <w:bCs/>
                <w:color w:val="000000"/>
                <w:sz w:val="20"/>
                <w:szCs w:val="20"/>
              </w:rPr>
            </w:pPr>
            <w:r w:rsidRPr="00F82C08">
              <w:rPr>
                <w:bCs/>
                <w:color w:val="000000"/>
                <w:sz w:val="20"/>
                <w:szCs w:val="20"/>
              </w:rPr>
              <w:t xml:space="preserve">          . Organisation de ces données dans des stockages prêts à importer</w:t>
            </w:r>
          </w:p>
          <w:p w:rsidR="00F82C08" w:rsidRPr="00F82C08" w:rsidRDefault="00F82C08" w:rsidP="00F82C08">
            <w:pPr>
              <w:autoSpaceDE w:val="0"/>
              <w:autoSpaceDN w:val="0"/>
              <w:adjustRightInd w:val="0"/>
              <w:ind w:left="164" w:right="309"/>
              <w:jc w:val="both"/>
              <w:rPr>
                <w:bCs/>
                <w:color w:val="000000"/>
                <w:sz w:val="20"/>
                <w:szCs w:val="20"/>
              </w:rPr>
            </w:pPr>
            <w:r w:rsidRPr="00F82C08">
              <w:rPr>
                <w:bCs/>
                <w:color w:val="000000"/>
                <w:sz w:val="20"/>
                <w:szCs w:val="20"/>
              </w:rPr>
              <w:t>- Participer à la mise en œuvre du POC</w:t>
            </w:r>
          </w:p>
          <w:p w:rsidR="00F82C08" w:rsidRPr="00F82C08" w:rsidRDefault="00F82C08" w:rsidP="00F82C08">
            <w:pPr>
              <w:autoSpaceDE w:val="0"/>
              <w:autoSpaceDN w:val="0"/>
              <w:adjustRightInd w:val="0"/>
              <w:ind w:left="164" w:right="309"/>
              <w:jc w:val="both"/>
              <w:rPr>
                <w:bCs/>
                <w:color w:val="000000"/>
                <w:sz w:val="20"/>
                <w:szCs w:val="20"/>
              </w:rPr>
            </w:pPr>
            <w:r w:rsidRPr="00F82C08">
              <w:rPr>
                <w:bCs/>
                <w:color w:val="000000"/>
                <w:sz w:val="20"/>
                <w:szCs w:val="20"/>
              </w:rPr>
              <w:t xml:space="preserve">          . Recette des fonctionnalités</w:t>
            </w:r>
          </w:p>
          <w:p w:rsidR="00F82C08" w:rsidRPr="00F82C08" w:rsidRDefault="00F82C08" w:rsidP="00F82C08">
            <w:pPr>
              <w:autoSpaceDE w:val="0"/>
              <w:autoSpaceDN w:val="0"/>
              <w:adjustRightInd w:val="0"/>
              <w:ind w:left="164" w:right="309"/>
              <w:jc w:val="both"/>
              <w:rPr>
                <w:bCs/>
                <w:color w:val="000000"/>
                <w:sz w:val="20"/>
                <w:szCs w:val="20"/>
              </w:rPr>
            </w:pPr>
            <w:r w:rsidRPr="00F82C08">
              <w:rPr>
                <w:bCs/>
                <w:color w:val="000000"/>
                <w:sz w:val="20"/>
                <w:szCs w:val="20"/>
              </w:rPr>
              <w:t xml:space="preserve">          . Réalisation des tests en grandeur réelle</w:t>
            </w:r>
          </w:p>
          <w:p w:rsidR="00CF2132" w:rsidRDefault="00F82C08" w:rsidP="00F82C08">
            <w:pPr>
              <w:autoSpaceDE w:val="0"/>
              <w:autoSpaceDN w:val="0"/>
              <w:adjustRightInd w:val="0"/>
              <w:ind w:left="164" w:right="309"/>
              <w:jc w:val="both"/>
              <w:rPr>
                <w:bCs/>
                <w:color w:val="000000"/>
                <w:sz w:val="20"/>
                <w:szCs w:val="20"/>
              </w:rPr>
            </w:pPr>
            <w:r w:rsidRPr="00F82C08">
              <w:rPr>
                <w:bCs/>
                <w:color w:val="000000"/>
                <w:sz w:val="20"/>
                <w:szCs w:val="20"/>
              </w:rPr>
              <w:t xml:space="preserve">          . Administration des bibliothèques et des contenus</w:t>
            </w:r>
          </w:p>
          <w:p w:rsidR="00F82C08" w:rsidRDefault="00F82C08" w:rsidP="00F82C08">
            <w:pPr>
              <w:autoSpaceDE w:val="0"/>
              <w:autoSpaceDN w:val="0"/>
              <w:adjustRightInd w:val="0"/>
              <w:ind w:left="164" w:right="309"/>
              <w:jc w:val="both"/>
              <w:rPr>
                <w:bCs/>
                <w:color w:val="000000"/>
                <w:sz w:val="20"/>
                <w:szCs w:val="20"/>
              </w:rPr>
            </w:pPr>
          </w:p>
          <w:p w:rsidR="00F82C08" w:rsidRDefault="00F82C08" w:rsidP="00F82C08">
            <w:pPr>
              <w:autoSpaceDE w:val="0"/>
              <w:autoSpaceDN w:val="0"/>
              <w:adjustRightInd w:val="0"/>
              <w:ind w:left="164" w:right="309"/>
              <w:jc w:val="both"/>
              <w:rPr>
                <w:bCs/>
                <w:color w:val="000000"/>
                <w:sz w:val="20"/>
                <w:szCs w:val="20"/>
              </w:rPr>
            </w:pPr>
            <w:r w:rsidRPr="00F82C08">
              <w:rPr>
                <w:bCs/>
                <w:color w:val="000000"/>
                <w:sz w:val="20"/>
                <w:szCs w:val="20"/>
              </w:rPr>
              <w:t>Rémunération: le(la) stagiaire reçoit une gratification, prévue par les textes, d´un montant</w:t>
            </w:r>
            <w:r w:rsidR="005B5D83">
              <w:rPr>
                <w:bCs/>
                <w:color w:val="000000"/>
                <w:sz w:val="20"/>
                <w:szCs w:val="20"/>
              </w:rPr>
              <w:t xml:space="preserve"> de 3,90€   par heure effectuée soit en moyenne 559,65€</w:t>
            </w:r>
          </w:p>
          <w:p w:rsidR="005B5D83" w:rsidRPr="006C6C11" w:rsidRDefault="005B5D83" w:rsidP="00F82C08">
            <w:pPr>
              <w:autoSpaceDE w:val="0"/>
              <w:autoSpaceDN w:val="0"/>
              <w:adjustRightInd w:val="0"/>
              <w:ind w:left="164" w:right="309"/>
              <w:jc w:val="both"/>
              <w:rPr>
                <w:bCs/>
                <w:color w:val="000000"/>
                <w:sz w:val="20"/>
                <w:szCs w:val="20"/>
              </w:rPr>
            </w:pPr>
          </w:p>
        </w:tc>
      </w:tr>
      <w:tr w:rsidR="00CF2132" w:rsidTr="00CF2132">
        <w:trPr>
          <w:trHeight w:val="410"/>
        </w:trPr>
        <w:tc>
          <w:tcPr>
            <w:tcW w:w="9062" w:type="dxa"/>
            <w:vAlign w:val="center"/>
          </w:tcPr>
          <w:p w:rsidR="00CF2132" w:rsidRPr="000E2152" w:rsidRDefault="00CF2132" w:rsidP="009960C5">
            <w:pPr>
              <w:jc w:val="center"/>
              <w:rPr>
                <w:color w:val="0000FF"/>
              </w:rPr>
            </w:pPr>
            <w:r w:rsidRPr="000E2152">
              <w:rPr>
                <w:b/>
                <w:bCs/>
                <w:color w:val="0000FF"/>
              </w:rPr>
              <w:t>DESCRIPTION DU SERVICE</w:t>
            </w:r>
          </w:p>
        </w:tc>
      </w:tr>
      <w:tr w:rsidR="00CF2132" w:rsidTr="00852858">
        <w:trPr>
          <w:trHeight w:val="1977"/>
        </w:trPr>
        <w:tc>
          <w:tcPr>
            <w:tcW w:w="9062" w:type="dxa"/>
          </w:tcPr>
          <w:p w:rsidR="00F82C08" w:rsidRPr="00F82C08" w:rsidRDefault="00F82C08" w:rsidP="00F82C08">
            <w:pPr>
              <w:autoSpaceDE w:val="0"/>
              <w:autoSpaceDN w:val="0"/>
              <w:adjustRightInd w:val="0"/>
              <w:ind w:left="164" w:right="309"/>
              <w:jc w:val="both"/>
              <w:rPr>
                <w:rFonts w:ascii="Calibri" w:hAnsi="Calibri" w:cs="Calibri"/>
                <w:color w:val="000000"/>
                <w:sz w:val="20"/>
                <w:szCs w:val="20"/>
              </w:rPr>
            </w:pPr>
            <w:r>
              <w:rPr>
                <w:rFonts w:ascii="Calibri" w:hAnsi="Calibri" w:cs="Calibri"/>
                <w:color w:val="000000"/>
                <w:sz w:val="20"/>
                <w:szCs w:val="20"/>
              </w:rPr>
              <w:t>I</w:t>
            </w:r>
            <w:r w:rsidRPr="00F82C08">
              <w:rPr>
                <w:rFonts w:ascii="Calibri" w:hAnsi="Calibri" w:cs="Calibri"/>
                <w:color w:val="000000"/>
                <w:sz w:val="20"/>
                <w:szCs w:val="20"/>
              </w:rPr>
              <w:t>nspection générale interministérielle du secteur social, l'IGAS réalise des missions de contrôle, d'audit et d'évaluation, conseille les pouvoirs publics et apporte son concours à la conception et à la conduite des réformes. Elle intervient à la demande des ministres, mais aussi sur la base de son programme d'activité.</w:t>
            </w:r>
          </w:p>
          <w:p w:rsidR="00F82C08" w:rsidRPr="00F82C08" w:rsidRDefault="00F82C08" w:rsidP="00F82C08">
            <w:pPr>
              <w:autoSpaceDE w:val="0"/>
              <w:autoSpaceDN w:val="0"/>
              <w:adjustRightInd w:val="0"/>
              <w:ind w:left="164" w:right="309"/>
              <w:jc w:val="both"/>
              <w:rPr>
                <w:rFonts w:ascii="Calibri" w:hAnsi="Calibri" w:cs="Calibri"/>
                <w:color w:val="000000"/>
                <w:sz w:val="20"/>
                <w:szCs w:val="20"/>
              </w:rPr>
            </w:pPr>
          </w:p>
          <w:p w:rsidR="00F82C08" w:rsidRPr="00F82C08" w:rsidRDefault="00F82C08" w:rsidP="00F82C08">
            <w:pPr>
              <w:autoSpaceDE w:val="0"/>
              <w:autoSpaceDN w:val="0"/>
              <w:adjustRightInd w:val="0"/>
              <w:ind w:left="164" w:right="309"/>
              <w:jc w:val="both"/>
              <w:rPr>
                <w:rFonts w:ascii="Calibri" w:hAnsi="Calibri" w:cs="Calibri"/>
                <w:color w:val="000000"/>
                <w:sz w:val="20"/>
                <w:szCs w:val="20"/>
              </w:rPr>
            </w:pPr>
            <w:r w:rsidRPr="00F82C08">
              <w:rPr>
                <w:rFonts w:ascii="Calibri" w:hAnsi="Calibri" w:cs="Calibri"/>
                <w:color w:val="000000"/>
                <w:sz w:val="20"/>
                <w:szCs w:val="20"/>
              </w:rPr>
              <w:t>Elle traite de sujets touchant à la vie de tous les citoyens : emploi, travail et formation professionnelle, santé, insertion sociale, protection des populations, sécurité sociale.</w:t>
            </w:r>
          </w:p>
          <w:p w:rsidR="00F82C08" w:rsidRPr="00F82C08" w:rsidRDefault="00F82C08" w:rsidP="00F82C08">
            <w:pPr>
              <w:autoSpaceDE w:val="0"/>
              <w:autoSpaceDN w:val="0"/>
              <w:adjustRightInd w:val="0"/>
              <w:ind w:left="164" w:right="309"/>
              <w:jc w:val="both"/>
              <w:rPr>
                <w:rFonts w:ascii="Calibri" w:hAnsi="Calibri" w:cs="Calibri"/>
                <w:color w:val="000000"/>
                <w:sz w:val="20"/>
                <w:szCs w:val="20"/>
              </w:rPr>
            </w:pPr>
          </w:p>
          <w:p w:rsidR="00F82C08" w:rsidRPr="00F82C08" w:rsidRDefault="00F82C08" w:rsidP="00F82C08">
            <w:pPr>
              <w:autoSpaceDE w:val="0"/>
              <w:autoSpaceDN w:val="0"/>
              <w:adjustRightInd w:val="0"/>
              <w:ind w:left="164" w:right="309"/>
              <w:jc w:val="both"/>
              <w:rPr>
                <w:rFonts w:ascii="Calibri" w:hAnsi="Calibri" w:cs="Calibri"/>
                <w:color w:val="000000"/>
                <w:sz w:val="20"/>
                <w:szCs w:val="20"/>
              </w:rPr>
            </w:pPr>
            <w:r w:rsidRPr="00F82C08">
              <w:rPr>
                <w:rFonts w:ascii="Calibri" w:hAnsi="Calibri" w:cs="Calibri"/>
                <w:color w:val="000000"/>
                <w:sz w:val="20"/>
                <w:szCs w:val="20"/>
              </w:rPr>
              <w:t xml:space="preserve">Le service de l'Inspection générale des affaires sociales regroupe environ 130 personnes participant aux missions d’'inspection aux profils variés : anciens élèves de l’'ENA, médecins, pharmaciens, directeurs d’hôpitaux, anciens inspecteurs du travail, ingénieurs…, etc. Il compte également une vingtaine d’agents en charge des fonctions d'administration générale (documentation, section des rapports, ressources humaines et formation, systèmes d’'information, logistique et déplacements). </w:t>
            </w:r>
          </w:p>
          <w:p w:rsidR="00F82C08" w:rsidRPr="00F82C08" w:rsidRDefault="00F82C08" w:rsidP="00F82C08">
            <w:pPr>
              <w:autoSpaceDE w:val="0"/>
              <w:autoSpaceDN w:val="0"/>
              <w:adjustRightInd w:val="0"/>
              <w:ind w:left="164" w:right="309"/>
              <w:jc w:val="both"/>
              <w:rPr>
                <w:rFonts w:ascii="Calibri" w:hAnsi="Calibri" w:cs="Calibri"/>
                <w:color w:val="000000"/>
                <w:sz w:val="20"/>
                <w:szCs w:val="20"/>
              </w:rPr>
            </w:pPr>
          </w:p>
          <w:p w:rsidR="00F82C08" w:rsidRPr="00F82C08" w:rsidRDefault="00F82C08" w:rsidP="00F82C08">
            <w:pPr>
              <w:autoSpaceDE w:val="0"/>
              <w:autoSpaceDN w:val="0"/>
              <w:adjustRightInd w:val="0"/>
              <w:ind w:left="164" w:right="309"/>
              <w:jc w:val="both"/>
              <w:rPr>
                <w:rFonts w:ascii="Calibri" w:hAnsi="Calibri" w:cs="Calibri"/>
                <w:color w:val="000000"/>
                <w:sz w:val="20"/>
                <w:szCs w:val="20"/>
              </w:rPr>
            </w:pPr>
            <w:r w:rsidRPr="00F82C08">
              <w:rPr>
                <w:rFonts w:ascii="Calibri" w:hAnsi="Calibri" w:cs="Calibri"/>
                <w:color w:val="000000"/>
                <w:sz w:val="20"/>
                <w:szCs w:val="20"/>
              </w:rPr>
              <w:lastRenderedPageBreak/>
              <w:t>Plusieurs missions permanentes sont intégrées au service de l’'IGAS : mission permanente d’audit interne des ministères sociaux - mission permanente d’inspection-contrôle, en appui aux équipes de contrôle des réseaux territoriaux - mission de contrôle des fonds européens - mission d'inspection santé-sécurité au travail des ministères sociaux</w:t>
            </w:r>
          </w:p>
          <w:p w:rsidR="00F82C08" w:rsidRPr="00F82C08" w:rsidRDefault="00F82C08" w:rsidP="00F82C08">
            <w:pPr>
              <w:autoSpaceDE w:val="0"/>
              <w:autoSpaceDN w:val="0"/>
              <w:adjustRightInd w:val="0"/>
              <w:ind w:left="164" w:right="309"/>
              <w:jc w:val="both"/>
              <w:rPr>
                <w:rFonts w:ascii="Calibri" w:hAnsi="Calibri" w:cs="Calibri"/>
                <w:color w:val="000000"/>
                <w:sz w:val="20"/>
                <w:szCs w:val="20"/>
              </w:rPr>
            </w:pPr>
          </w:p>
          <w:p w:rsidR="00F82C08" w:rsidRPr="006C6C11" w:rsidRDefault="00F82C08" w:rsidP="00F82C08">
            <w:pPr>
              <w:autoSpaceDE w:val="0"/>
              <w:autoSpaceDN w:val="0"/>
              <w:adjustRightInd w:val="0"/>
              <w:ind w:left="164" w:right="309"/>
              <w:jc w:val="both"/>
              <w:rPr>
                <w:rFonts w:ascii="Calibri" w:hAnsi="Calibri" w:cs="Calibri"/>
                <w:color w:val="000000"/>
                <w:sz w:val="20"/>
                <w:szCs w:val="20"/>
              </w:rPr>
            </w:pPr>
            <w:r w:rsidRPr="00F82C08">
              <w:rPr>
                <w:rFonts w:ascii="Calibri" w:hAnsi="Calibri" w:cs="Calibri"/>
                <w:color w:val="000000"/>
                <w:sz w:val="20"/>
                <w:szCs w:val="20"/>
              </w:rPr>
              <w:t xml:space="preserve">L'IGAS est dirigée par une cheffe du service, assistée de deux adjoints, d'un secrétaire général et d'une responsable de la communication. </w:t>
            </w:r>
          </w:p>
        </w:tc>
      </w:tr>
      <w:tr w:rsidR="00CF2132" w:rsidTr="00CF2132">
        <w:trPr>
          <w:trHeight w:val="376"/>
        </w:trPr>
        <w:tc>
          <w:tcPr>
            <w:tcW w:w="9062" w:type="dxa"/>
            <w:vAlign w:val="center"/>
          </w:tcPr>
          <w:p w:rsidR="00CF2132" w:rsidRDefault="00CF2132" w:rsidP="00F82C08">
            <w:pPr>
              <w:spacing w:after="40"/>
              <w:jc w:val="center"/>
            </w:pPr>
            <w:r w:rsidRPr="00724F72">
              <w:rPr>
                <w:b/>
                <w:bCs/>
                <w:color w:val="0000FF"/>
              </w:rPr>
              <w:lastRenderedPageBreak/>
              <w:t xml:space="preserve">PROFIL </w:t>
            </w:r>
            <w:r w:rsidR="00F82C08">
              <w:rPr>
                <w:b/>
                <w:bCs/>
                <w:color w:val="0000FF"/>
              </w:rPr>
              <w:t>SOUHAITE</w:t>
            </w:r>
          </w:p>
        </w:tc>
      </w:tr>
      <w:tr w:rsidR="00CF2132" w:rsidTr="00F82C08">
        <w:trPr>
          <w:trHeight w:val="3965"/>
        </w:trPr>
        <w:tc>
          <w:tcPr>
            <w:tcW w:w="9062" w:type="dxa"/>
          </w:tcPr>
          <w:p w:rsidR="00F82C08" w:rsidRPr="00F82C08" w:rsidRDefault="00F82C08" w:rsidP="00852858">
            <w:pPr>
              <w:ind w:left="164" w:right="309"/>
              <w:jc w:val="both"/>
              <w:rPr>
                <w:bCs/>
                <w:color w:val="000000"/>
                <w:sz w:val="20"/>
                <w:szCs w:val="20"/>
              </w:rPr>
            </w:pPr>
            <w:r w:rsidRPr="00F82C08">
              <w:rPr>
                <w:bCs/>
                <w:color w:val="000000"/>
                <w:sz w:val="20"/>
                <w:szCs w:val="20"/>
              </w:rPr>
              <w:t>Vous êtes étudiant(e) en Bac +3/4, issu(e) d’un cursus en Science de l’Information et des Documents en Entreprise / Gestion stratégique de l’information / Management de l'information</w:t>
            </w:r>
          </w:p>
          <w:p w:rsidR="00F82C08" w:rsidRPr="00F82C08" w:rsidRDefault="00F82C08" w:rsidP="00852858">
            <w:pPr>
              <w:ind w:left="164" w:right="309"/>
              <w:jc w:val="both"/>
              <w:rPr>
                <w:bCs/>
                <w:color w:val="000000"/>
                <w:sz w:val="20"/>
                <w:szCs w:val="20"/>
              </w:rPr>
            </w:pPr>
          </w:p>
          <w:p w:rsidR="00F82C08" w:rsidRPr="00F82C08" w:rsidRDefault="00F82C08" w:rsidP="00852858">
            <w:pPr>
              <w:ind w:left="164" w:right="309"/>
              <w:jc w:val="both"/>
              <w:rPr>
                <w:bCs/>
                <w:color w:val="000000"/>
                <w:sz w:val="20"/>
                <w:szCs w:val="20"/>
              </w:rPr>
            </w:pPr>
            <w:r w:rsidRPr="00F82C08">
              <w:rPr>
                <w:bCs/>
                <w:color w:val="000000"/>
                <w:sz w:val="20"/>
                <w:szCs w:val="20"/>
              </w:rPr>
              <w:t>Connaissances :</w:t>
            </w:r>
          </w:p>
          <w:p w:rsidR="00F82C08" w:rsidRPr="00F82C08" w:rsidRDefault="00F82C08" w:rsidP="00852858">
            <w:pPr>
              <w:ind w:left="164" w:right="309"/>
              <w:jc w:val="both"/>
              <w:rPr>
                <w:bCs/>
                <w:color w:val="000000"/>
                <w:sz w:val="20"/>
                <w:szCs w:val="20"/>
              </w:rPr>
            </w:pPr>
            <w:r w:rsidRPr="00F82C08">
              <w:rPr>
                <w:bCs/>
                <w:color w:val="000000"/>
                <w:sz w:val="20"/>
                <w:szCs w:val="20"/>
              </w:rPr>
              <w:t xml:space="preserve">Maitrise de la qualification de données et des règles de taxonomie </w:t>
            </w:r>
          </w:p>
          <w:p w:rsidR="00F82C08" w:rsidRPr="00F82C08" w:rsidRDefault="00F82C08" w:rsidP="00852858">
            <w:pPr>
              <w:ind w:left="164" w:right="309"/>
              <w:jc w:val="both"/>
              <w:rPr>
                <w:bCs/>
                <w:color w:val="000000"/>
                <w:sz w:val="20"/>
                <w:szCs w:val="20"/>
              </w:rPr>
            </w:pPr>
          </w:p>
          <w:p w:rsidR="00F82C08" w:rsidRPr="00F82C08" w:rsidRDefault="00F82C08" w:rsidP="00852858">
            <w:pPr>
              <w:ind w:left="164" w:right="309"/>
              <w:jc w:val="both"/>
              <w:rPr>
                <w:bCs/>
                <w:color w:val="000000"/>
                <w:sz w:val="20"/>
                <w:szCs w:val="20"/>
              </w:rPr>
            </w:pPr>
            <w:r w:rsidRPr="00F82C08">
              <w:rPr>
                <w:bCs/>
                <w:color w:val="000000"/>
                <w:sz w:val="20"/>
                <w:szCs w:val="20"/>
              </w:rPr>
              <w:t xml:space="preserve">Savoir-être : </w:t>
            </w:r>
          </w:p>
          <w:p w:rsidR="00F82C08" w:rsidRPr="00852858" w:rsidRDefault="00F82C08" w:rsidP="00852858">
            <w:pPr>
              <w:pStyle w:val="Paragraphedeliste"/>
              <w:numPr>
                <w:ilvl w:val="0"/>
                <w:numId w:val="10"/>
              </w:numPr>
              <w:ind w:left="589" w:right="309"/>
              <w:jc w:val="both"/>
              <w:rPr>
                <w:bCs/>
                <w:color w:val="000000"/>
                <w:sz w:val="20"/>
                <w:szCs w:val="20"/>
              </w:rPr>
            </w:pPr>
            <w:r w:rsidRPr="00852858">
              <w:rPr>
                <w:bCs/>
                <w:color w:val="000000"/>
                <w:sz w:val="20"/>
                <w:szCs w:val="20"/>
              </w:rPr>
              <w:t>Vous faites preuve d’intérêt pour les sujets de politique sociale et de santé publique***</w:t>
            </w:r>
          </w:p>
          <w:p w:rsidR="00F82C08" w:rsidRPr="00852858" w:rsidRDefault="00F82C08" w:rsidP="00852858">
            <w:pPr>
              <w:pStyle w:val="Paragraphedeliste"/>
              <w:numPr>
                <w:ilvl w:val="0"/>
                <w:numId w:val="10"/>
              </w:numPr>
              <w:ind w:left="589" w:right="309"/>
              <w:jc w:val="both"/>
              <w:rPr>
                <w:bCs/>
                <w:color w:val="000000"/>
                <w:sz w:val="20"/>
                <w:szCs w:val="20"/>
              </w:rPr>
            </w:pPr>
            <w:r w:rsidRPr="00852858">
              <w:rPr>
                <w:bCs/>
                <w:color w:val="000000"/>
                <w:sz w:val="20"/>
                <w:szCs w:val="20"/>
              </w:rPr>
              <w:t>Vous savez travailler en autonomie***</w:t>
            </w:r>
          </w:p>
          <w:p w:rsidR="00F82C08" w:rsidRPr="00852858" w:rsidRDefault="00F82C08" w:rsidP="00852858">
            <w:pPr>
              <w:pStyle w:val="Paragraphedeliste"/>
              <w:numPr>
                <w:ilvl w:val="0"/>
                <w:numId w:val="10"/>
              </w:numPr>
              <w:ind w:left="589" w:right="309"/>
              <w:jc w:val="both"/>
              <w:rPr>
                <w:bCs/>
                <w:color w:val="000000"/>
                <w:sz w:val="20"/>
                <w:szCs w:val="20"/>
              </w:rPr>
            </w:pPr>
            <w:r w:rsidRPr="00852858">
              <w:rPr>
                <w:bCs/>
                <w:color w:val="000000"/>
                <w:sz w:val="20"/>
                <w:szCs w:val="20"/>
              </w:rPr>
              <w:t>Doté(e) d’un bon relationnel, vous êtes reconnu(e) pour votre curiosité***</w:t>
            </w:r>
          </w:p>
          <w:p w:rsidR="00F82C08" w:rsidRPr="00F82C08" w:rsidRDefault="00F82C08" w:rsidP="00852858">
            <w:pPr>
              <w:ind w:left="164" w:right="309"/>
              <w:jc w:val="both"/>
              <w:rPr>
                <w:bCs/>
                <w:color w:val="000000"/>
                <w:sz w:val="20"/>
                <w:szCs w:val="20"/>
              </w:rPr>
            </w:pPr>
          </w:p>
          <w:p w:rsidR="00F82C08" w:rsidRPr="00F82C08" w:rsidRDefault="00F82C08" w:rsidP="00852858">
            <w:pPr>
              <w:ind w:left="164" w:right="309"/>
              <w:jc w:val="both"/>
              <w:rPr>
                <w:bCs/>
                <w:color w:val="000000"/>
                <w:sz w:val="20"/>
                <w:szCs w:val="20"/>
              </w:rPr>
            </w:pPr>
            <w:r w:rsidRPr="00F82C08">
              <w:rPr>
                <w:bCs/>
                <w:color w:val="000000"/>
                <w:sz w:val="20"/>
                <w:szCs w:val="20"/>
              </w:rPr>
              <w:t xml:space="preserve">Savoir-faire : </w:t>
            </w:r>
          </w:p>
          <w:p w:rsidR="00F82C08" w:rsidRPr="00852858" w:rsidRDefault="00F82C08" w:rsidP="00852858">
            <w:pPr>
              <w:pStyle w:val="Paragraphedeliste"/>
              <w:numPr>
                <w:ilvl w:val="0"/>
                <w:numId w:val="9"/>
              </w:numPr>
              <w:ind w:right="309"/>
              <w:jc w:val="both"/>
              <w:rPr>
                <w:bCs/>
                <w:color w:val="000000"/>
                <w:sz w:val="20"/>
                <w:szCs w:val="20"/>
              </w:rPr>
            </w:pPr>
            <w:proofErr w:type="gramStart"/>
            <w:r w:rsidRPr="00852858">
              <w:rPr>
                <w:bCs/>
                <w:color w:val="000000"/>
                <w:sz w:val="20"/>
                <w:szCs w:val="20"/>
              </w:rPr>
              <w:t>créativité</w:t>
            </w:r>
            <w:proofErr w:type="gramEnd"/>
          </w:p>
          <w:p w:rsidR="00F82C08" w:rsidRDefault="00F82C08" w:rsidP="00852858">
            <w:pPr>
              <w:pStyle w:val="Paragraphedeliste"/>
              <w:numPr>
                <w:ilvl w:val="0"/>
                <w:numId w:val="9"/>
              </w:numPr>
              <w:ind w:right="309"/>
              <w:jc w:val="both"/>
              <w:rPr>
                <w:bCs/>
                <w:color w:val="000000"/>
                <w:sz w:val="20"/>
                <w:szCs w:val="20"/>
              </w:rPr>
            </w:pPr>
            <w:proofErr w:type="gramStart"/>
            <w:r w:rsidRPr="00852858">
              <w:rPr>
                <w:bCs/>
                <w:color w:val="000000"/>
                <w:sz w:val="20"/>
                <w:szCs w:val="20"/>
              </w:rPr>
              <w:t>rigueur</w:t>
            </w:r>
            <w:proofErr w:type="gramEnd"/>
          </w:p>
          <w:p w:rsidR="00852858" w:rsidRPr="00852858" w:rsidRDefault="00852858" w:rsidP="00852858">
            <w:pPr>
              <w:pStyle w:val="Paragraphedeliste"/>
              <w:numPr>
                <w:ilvl w:val="0"/>
                <w:numId w:val="9"/>
              </w:numPr>
              <w:ind w:right="309"/>
              <w:jc w:val="both"/>
              <w:rPr>
                <w:bCs/>
                <w:color w:val="000000"/>
                <w:sz w:val="20"/>
                <w:szCs w:val="20"/>
              </w:rPr>
            </w:pPr>
            <w:proofErr w:type="gramStart"/>
            <w:r w:rsidRPr="00852858">
              <w:rPr>
                <w:bCs/>
                <w:color w:val="000000"/>
                <w:sz w:val="20"/>
                <w:szCs w:val="20"/>
              </w:rPr>
              <w:t>capacité</w:t>
            </w:r>
            <w:proofErr w:type="gramEnd"/>
            <w:r w:rsidRPr="00852858">
              <w:rPr>
                <w:bCs/>
                <w:color w:val="000000"/>
                <w:sz w:val="20"/>
                <w:szCs w:val="20"/>
              </w:rPr>
              <w:t xml:space="preserve"> à prendre des initiatives</w:t>
            </w:r>
          </w:p>
          <w:p w:rsidR="00852858" w:rsidRPr="00852858" w:rsidRDefault="00852858" w:rsidP="00852858">
            <w:pPr>
              <w:pStyle w:val="Paragraphedeliste"/>
              <w:numPr>
                <w:ilvl w:val="0"/>
                <w:numId w:val="9"/>
              </w:numPr>
              <w:ind w:right="309"/>
              <w:jc w:val="both"/>
              <w:rPr>
                <w:bCs/>
                <w:color w:val="000000"/>
                <w:sz w:val="6"/>
              </w:rPr>
            </w:pPr>
          </w:p>
          <w:p w:rsidR="00CF2132" w:rsidRPr="00852858" w:rsidRDefault="00CF2132" w:rsidP="00852858">
            <w:pPr>
              <w:pStyle w:val="Paragraphedeliste"/>
              <w:numPr>
                <w:ilvl w:val="0"/>
                <w:numId w:val="9"/>
              </w:numPr>
              <w:ind w:right="309"/>
              <w:jc w:val="both"/>
              <w:rPr>
                <w:bCs/>
                <w:color w:val="000000"/>
                <w:sz w:val="6"/>
              </w:rPr>
            </w:pPr>
          </w:p>
        </w:tc>
      </w:tr>
      <w:tr w:rsidR="00CF2132" w:rsidTr="00CF2132">
        <w:trPr>
          <w:trHeight w:val="468"/>
        </w:trPr>
        <w:tc>
          <w:tcPr>
            <w:tcW w:w="9062" w:type="dxa"/>
            <w:vAlign w:val="center"/>
          </w:tcPr>
          <w:p w:rsidR="00CF2132" w:rsidRDefault="00CF2132" w:rsidP="009960C5">
            <w:pPr>
              <w:spacing w:after="40"/>
              <w:jc w:val="center"/>
            </w:pPr>
            <w:r w:rsidRPr="00724F72">
              <w:rPr>
                <w:b/>
                <w:bCs/>
                <w:color w:val="0000FF"/>
              </w:rPr>
              <w:t>DOSSIER DE CANDIDATURE</w:t>
            </w:r>
          </w:p>
        </w:tc>
      </w:tr>
      <w:tr w:rsidR="00CF2132" w:rsidTr="00852858">
        <w:trPr>
          <w:trHeight w:val="2232"/>
        </w:trPr>
        <w:tc>
          <w:tcPr>
            <w:tcW w:w="9062" w:type="dxa"/>
          </w:tcPr>
          <w:p w:rsidR="00852858" w:rsidRDefault="00CF2132" w:rsidP="00852858">
            <w:pPr>
              <w:spacing w:before="120" w:after="40"/>
              <w:ind w:left="164" w:right="309"/>
              <w:jc w:val="both"/>
              <w:rPr>
                <w:bCs/>
                <w:color w:val="000000" w:themeColor="text1"/>
                <w:sz w:val="20"/>
                <w:szCs w:val="20"/>
              </w:rPr>
            </w:pPr>
            <w:r w:rsidRPr="00B06867">
              <w:rPr>
                <w:bCs/>
                <w:color w:val="000000" w:themeColor="text1"/>
                <w:sz w:val="20"/>
                <w:szCs w:val="20"/>
              </w:rPr>
              <w:t xml:space="preserve">Le dossier de candidature </w:t>
            </w:r>
            <w:r w:rsidR="00852858" w:rsidRPr="00B06867">
              <w:rPr>
                <w:bCs/>
                <w:color w:val="000000" w:themeColor="text1"/>
                <w:sz w:val="20"/>
                <w:szCs w:val="20"/>
              </w:rPr>
              <w:t xml:space="preserve">est à envoyer à </w:t>
            </w:r>
            <w:r w:rsidR="00852858">
              <w:rPr>
                <w:b/>
                <w:bCs/>
                <w:color w:val="000000" w:themeColor="text1"/>
                <w:sz w:val="20"/>
                <w:szCs w:val="20"/>
              </w:rPr>
              <w:t>IGAS-STAGES</w:t>
            </w:r>
            <w:r w:rsidR="00852858" w:rsidRPr="00B06867">
              <w:rPr>
                <w:b/>
                <w:bCs/>
                <w:color w:val="000000" w:themeColor="text1"/>
                <w:sz w:val="20"/>
                <w:szCs w:val="20"/>
              </w:rPr>
              <w:t>@igas.gouv.fr</w:t>
            </w:r>
            <w:r w:rsidR="00852858">
              <w:rPr>
                <w:bCs/>
                <w:color w:val="000000" w:themeColor="text1"/>
                <w:sz w:val="20"/>
                <w:szCs w:val="20"/>
              </w:rPr>
              <w:t xml:space="preserve"> et il comprendra :</w:t>
            </w:r>
          </w:p>
          <w:p w:rsidR="00852858" w:rsidRPr="00852858" w:rsidRDefault="00852858" w:rsidP="00852858">
            <w:pPr>
              <w:pStyle w:val="Paragraphedeliste"/>
              <w:numPr>
                <w:ilvl w:val="0"/>
                <w:numId w:val="5"/>
              </w:numPr>
              <w:ind w:left="589" w:right="309"/>
              <w:jc w:val="both"/>
              <w:rPr>
                <w:bCs/>
                <w:color w:val="000000" w:themeColor="text1"/>
                <w:sz w:val="20"/>
                <w:szCs w:val="20"/>
              </w:rPr>
            </w:pPr>
            <w:r w:rsidRPr="00852858">
              <w:rPr>
                <w:bCs/>
                <w:color w:val="000000" w:themeColor="text1"/>
                <w:sz w:val="20"/>
                <w:szCs w:val="20"/>
              </w:rPr>
              <w:t>Une lettre de motivation,</w:t>
            </w:r>
          </w:p>
          <w:p w:rsidR="00852858" w:rsidRPr="00852858" w:rsidRDefault="00852858" w:rsidP="00852858">
            <w:pPr>
              <w:pStyle w:val="Paragraphedeliste"/>
              <w:numPr>
                <w:ilvl w:val="0"/>
                <w:numId w:val="5"/>
              </w:numPr>
              <w:ind w:left="589" w:right="309"/>
              <w:jc w:val="both"/>
              <w:rPr>
                <w:bCs/>
                <w:color w:val="000000" w:themeColor="text1"/>
                <w:sz w:val="20"/>
                <w:szCs w:val="20"/>
              </w:rPr>
            </w:pPr>
            <w:r w:rsidRPr="00852858">
              <w:rPr>
                <w:bCs/>
                <w:color w:val="000000" w:themeColor="text1"/>
                <w:sz w:val="20"/>
                <w:szCs w:val="20"/>
              </w:rPr>
              <w:t>Un CV détaillé,</w:t>
            </w:r>
          </w:p>
          <w:p w:rsidR="00852858" w:rsidRPr="00852858" w:rsidRDefault="00852858" w:rsidP="00852858">
            <w:pPr>
              <w:pStyle w:val="Paragraphedeliste"/>
              <w:numPr>
                <w:ilvl w:val="0"/>
                <w:numId w:val="5"/>
              </w:numPr>
              <w:ind w:left="589" w:right="309"/>
              <w:jc w:val="both"/>
              <w:rPr>
                <w:bCs/>
                <w:color w:val="000000" w:themeColor="text1"/>
                <w:sz w:val="20"/>
                <w:szCs w:val="20"/>
              </w:rPr>
            </w:pPr>
            <w:r w:rsidRPr="00852858">
              <w:rPr>
                <w:bCs/>
                <w:color w:val="000000" w:themeColor="text1"/>
                <w:sz w:val="20"/>
                <w:szCs w:val="20"/>
              </w:rPr>
              <w:t>Une appréciation sur la manière de servir émanant du supérieur hiérarchique ou de toute autre autorité directe.</w:t>
            </w:r>
          </w:p>
          <w:p w:rsidR="00CF2132" w:rsidRDefault="00852858" w:rsidP="00852858">
            <w:pPr>
              <w:spacing w:before="120" w:after="40"/>
              <w:ind w:left="164" w:right="309"/>
              <w:jc w:val="both"/>
              <w:rPr>
                <w:bCs/>
                <w:color w:val="000000" w:themeColor="text1"/>
                <w:sz w:val="20"/>
                <w:szCs w:val="20"/>
              </w:rPr>
            </w:pPr>
            <w:r w:rsidRPr="00852858">
              <w:rPr>
                <w:b/>
                <w:bCs/>
                <w:color w:val="000000" w:themeColor="text1"/>
                <w:sz w:val="20"/>
                <w:szCs w:val="20"/>
                <w:u w:val="single"/>
              </w:rPr>
              <w:t>Personne à contacter</w:t>
            </w:r>
            <w:r>
              <w:rPr>
                <w:bCs/>
                <w:color w:val="000000" w:themeColor="text1"/>
                <w:sz w:val="20"/>
                <w:szCs w:val="20"/>
              </w:rPr>
              <w:t xml:space="preserve"> : </w:t>
            </w:r>
            <w:r w:rsidRPr="00852858">
              <w:rPr>
                <w:bCs/>
                <w:color w:val="000000" w:themeColor="text1"/>
                <w:sz w:val="20"/>
                <w:szCs w:val="20"/>
              </w:rPr>
              <w:t>maud.annic@igas.gouv.fr, cheffe de projet Management digital de l'information</w:t>
            </w:r>
          </w:p>
          <w:p w:rsidR="00852858" w:rsidRPr="002659A6" w:rsidRDefault="00852858" w:rsidP="00852858">
            <w:pPr>
              <w:spacing w:before="120" w:after="40"/>
              <w:jc w:val="both"/>
              <w:rPr>
                <w:rFonts w:ascii="Calibri-Bold" w:hAnsi="Calibri-Bold" w:cs="Calibri-Bold"/>
                <w:bCs/>
                <w:sz w:val="20"/>
                <w:szCs w:val="20"/>
              </w:rPr>
            </w:pPr>
          </w:p>
        </w:tc>
      </w:tr>
    </w:tbl>
    <w:p w:rsidR="00CF2132" w:rsidRDefault="00CF2132"/>
    <w:sectPr w:rsidR="00CF2132" w:rsidSect="0085285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4CB3"/>
    <w:multiLevelType w:val="hybridMultilevel"/>
    <w:tmpl w:val="541E60B6"/>
    <w:lvl w:ilvl="0" w:tplc="040C0001">
      <w:start w:val="1"/>
      <w:numFmt w:val="bullet"/>
      <w:lvlText w:val=""/>
      <w:lvlJc w:val="left"/>
      <w:pPr>
        <w:ind w:left="524" w:hanging="360"/>
      </w:pPr>
      <w:rPr>
        <w:rFonts w:ascii="Symbol" w:hAnsi="Symbol" w:cs="Symbol" w:hint="default"/>
      </w:rPr>
    </w:lvl>
    <w:lvl w:ilvl="1" w:tplc="040C0003" w:tentative="1">
      <w:start w:val="1"/>
      <w:numFmt w:val="bullet"/>
      <w:lvlText w:val="o"/>
      <w:lvlJc w:val="left"/>
      <w:pPr>
        <w:ind w:left="1244" w:hanging="360"/>
      </w:pPr>
      <w:rPr>
        <w:rFonts w:ascii="Courier New" w:hAnsi="Courier New" w:cs="Courier New" w:hint="default"/>
      </w:rPr>
    </w:lvl>
    <w:lvl w:ilvl="2" w:tplc="040C0005" w:tentative="1">
      <w:start w:val="1"/>
      <w:numFmt w:val="bullet"/>
      <w:lvlText w:val=""/>
      <w:lvlJc w:val="left"/>
      <w:pPr>
        <w:ind w:left="1964" w:hanging="360"/>
      </w:pPr>
      <w:rPr>
        <w:rFonts w:ascii="Wingdings" w:hAnsi="Wingdings" w:hint="default"/>
      </w:rPr>
    </w:lvl>
    <w:lvl w:ilvl="3" w:tplc="040C0001" w:tentative="1">
      <w:start w:val="1"/>
      <w:numFmt w:val="bullet"/>
      <w:lvlText w:val=""/>
      <w:lvlJc w:val="left"/>
      <w:pPr>
        <w:ind w:left="2684" w:hanging="360"/>
      </w:pPr>
      <w:rPr>
        <w:rFonts w:ascii="Symbol" w:hAnsi="Symbol" w:hint="default"/>
      </w:rPr>
    </w:lvl>
    <w:lvl w:ilvl="4" w:tplc="040C0003" w:tentative="1">
      <w:start w:val="1"/>
      <w:numFmt w:val="bullet"/>
      <w:lvlText w:val="o"/>
      <w:lvlJc w:val="left"/>
      <w:pPr>
        <w:ind w:left="3404" w:hanging="360"/>
      </w:pPr>
      <w:rPr>
        <w:rFonts w:ascii="Courier New" w:hAnsi="Courier New" w:cs="Courier New" w:hint="default"/>
      </w:rPr>
    </w:lvl>
    <w:lvl w:ilvl="5" w:tplc="040C0005" w:tentative="1">
      <w:start w:val="1"/>
      <w:numFmt w:val="bullet"/>
      <w:lvlText w:val=""/>
      <w:lvlJc w:val="left"/>
      <w:pPr>
        <w:ind w:left="4124" w:hanging="360"/>
      </w:pPr>
      <w:rPr>
        <w:rFonts w:ascii="Wingdings" w:hAnsi="Wingdings" w:hint="default"/>
      </w:rPr>
    </w:lvl>
    <w:lvl w:ilvl="6" w:tplc="040C0001" w:tentative="1">
      <w:start w:val="1"/>
      <w:numFmt w:val="bullet"/>
      <w:lvlText w:val=""/>
      <w:lvlJc w:val="left"/>
      <w:pPr>
        <w:ind w:left="4844" w:hanging="360"/>
      </w:pPr>
      <w:rPr>
        <w:rFonts w:ascii="Symbol" w:hAnsi="Symbol" w:hint="default"/>
      </w:rPr>
    </w:lvl>
    <w:lvl w:ilvl="7" w:tplc="040C0003" w:tentative="1">
      <w:start w:val="1"/>
      <w:numFmt w:val="bullet"/>
      <w:lvlText w:val="o"/>
      <w:lvlJc w:val="left"/>
      <w:pPr>
        <w:ind w:left="5564" w:hanging="360"/>
      </w:pPr>
      <w:rPr>
        <w:rFonts w:ascii="Courier New" w:hAnsi="Courier New" w:cs="Courier New" w:hint="default"/>
      </w:rPr>
    </w:lvl>
    <w:lvl w:ilvl="8" w:tplc="040C0005" w:tentative="1">
      <w:start w:val="1"/>
      <w:numFmt w:val="bullet"/>
      <w:lvlText w:val=""/>
      <w:lvlJc w:val="left"/>
      <w:pPr>
        <w:ind w:left="6284" w:hanging="360"/>
      </w:pPr>
      <w:rPr>
        <w:rFonts w:ascii="Wingdings" w:hAnsi="Wingdings" w:hint="default"/>
      </w:rPr>
    </w:lvl>
  </w:abstractNum>
  <w:abstractNum w:abstractNumId="1" w15:restartNumberingAfterBreak="0">
    <w:nsid w:val="1992300F"/>
    <w:multiLevelType w:val="hybridMultilevel"/>
    <w:tmpl w:val="D696F0BC"/>
    <w:lvl w:ilvl="0" w:tplc="040C0001">
      <w:start w:val="1"/>
      <w:numFmt w:val="bullet"/>
      <w:lvlText w:val=""/>
      <w:lvlJc w:val="left"/>
      <w:pPr>
        <w:ind w:left="731" w:hanging="360"/>
      </w:pPr>
      <w:rPr>
        <w:rFonts w:ascii="Symbol" w:hAnsi="Symbol" w:cs="Symbol"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2" w15:restartNumberingAfterBreak="0">
    <w:nsid w:val="1E170111"/>
    <w:multiLevelType w:val="hybridMultilevel"/>
    <w:tmpl w:val="58A66AA8"/>
    <w:lvl w:ilvl="0" w:tplc="040C0001">
      <w:start w:val="1"/>
      <w:numFmt w:val="bullet"/>
      <w:lvlText w:val=""/>
      <w:lvlJc w:val="left"/>
      <w:pPr>
        <w:ind w:left="720" w:hanging="360"/>
      </w:pPr>
      <w:rPr>
        <w:rFonts w:ascii="Symbol" w:hAnsi="Symbol" w:cs="Symbol" w:hint="default"/>
      </w:rPr>
    </w:lvl>
    <w:lvl w:ilvl="1" w:tplc="126ABFA4">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9130B9"/>
    <w:multiLevelType w:val="hybridMultilevel"/>
    <w:tmpl w:val="26C0E77C"/>
    <w:lvl w:ilvl="0" w:tplc="B8041318">
      <w:numFmt w:val="bullet"/>
      <w:lvlText w:val="-"/>
      <w:lvlJc w:val="left"/>
      <w:pPr>
        <w:ind w:left="524" w:hanging="360"/>
      </w:pPr>
      <w:rPr>
        <w:rFonts w:ascii="Calibri" w:eastAsiaTheme="minorEastAsia" w:hAnsi="Calibri" w:cs="Calibri" w:hint="default"/>
      </w:rPr>
    </w:lvl>
    <w:lvl w:ilvl="1" w:tplc="040C0003" w:tentative="1">
      <w:start w:val="1"/>
      <w:numFmt w:val="bullet"/>
      <w:lvlText w:val="o"/>
      <w:lvlJc w:val="left"/>
      <w:pPr>
        <w:ind w:left="1244" w:hanging="360"/>
      </w:pPr>
      <w:rPr>
        <w:rFonts w:ascii="Courier New" w:hAnsi="Courier New" w:cs="Courier New" w:hint="default"/>
      </w:rPr>
    </w:lvl>
    <w:lvl w:ilvl="2" w:tplc="040C0005" w:tentative="1">
      <w:start w:val="1"/>
      <w:numFmt w:val="bullet"/>
      <w:lvlText w:val=""/>
      <w:lvlJc w:val="left"/>
      <w:pPr>
        <w:ind w:left="1964" w:hanging="360"/>
      </w:pPr>
      <w:rPr>
        <w:rFonts w:ascii="Wingdings" w:hAnsi="Wingdings" w:hint="default"/>
      </w:rPr>
    </w:lvl>
    <w:lvl w:ilvl="3" w:tplc="040C0001" w:tentative="1">
      <w:start w:val="1"/>
      <w:numFmt w:val="bullet"/>
      <w:lvlText w:val=""/>
      <w:lvlJc w:val="left"/>
      <w:pPr>
        <w:ind w:left="2684" w:hanging="360"/>
      </w:pPr>
      <w:rPr>
        <w:rFonts w:ascii="Symbol" w:hAnsi="Symbol" w:hint="default"/>
      </w:rPr>
    </w:lvl>
    <w:lvl w:ilvl="4" w:tplc="040C0003" w:tentative="1">
      <w:start w:val="1"/>
      <w:numFmt w:val="bullet"/>
      <w:lvlText w:val="o"/>
      <w:lvlJc w:val="left"/>
      <w:pPr>
        <w:ind w:left="3404" w:hanging="360"/>
      </w:pPr>
      <w:rPr>
        <w:rFonts w:ascii="Courier New" w:hAnsi="Courier New" w:cs="Courier New" w:hint="default"/>
      </w:rPr>
    </w:lvl>
    <w:lvl w:ilvl="5" w:tplc="040C0005" w:tentative="1">
      <w:start w:val="1"/>
      <w:numFmt w:val="bullet"/>
      <w:lvlText w:val=""/>
      <w:lvlJc w:val="left"/>
      <w:pPr>
        <w:ind w:left="4124" w:hanging="360"/>
      </w:pPr>
      <w:rPr>
        <w:rFonts w:ascii="Wingdings" w:hAnsi="Wingdings" w:hint="default"/>
      </w:rPr>
    </w:lvl>
    <w:lvl w:ilvl="6" w:tplc="040C0001" w:tentative="1">
      <w:start w:val="1"/>
      <w:numFmt w:val="bullet"/>
      <w:lvlText w:val=""/>
      <w:lvlJc w:val="left"/>
      <w:pPr>
        <w:ind w:left="4844" w:hanging="360"/>
      </w:pPr>
      <w:rPr>
        <w:rFonts w:ascii="Symbol" w:hAnsi="Symbol" w:hint="default"/>
      </w:rPr>
    </w:lvl>
    <w:lvl w:ilvl="7" w:tplc="040C0003" w:tentative="1">
      <w:start w:val="1"/>
      <w:numFmt w:val="bullet"/>
      <w:lvlText w:val="o"/>
      <w:lvlJc w:val="left"/>
      <w:pPr>
        <w:ind w:left="5564" w:hanging="360"/>
      </w:pPr>
      <w:rPr>
        <w:rFonts w:ascii="Courier New" w:hAnsi="Courier New" w:cs="Courier New" w:hint="default"/>
      </w:rPr>
    </w:lvl>
    <w:lvl w:ilvl="8" w:tplc="040C0005" w:tentative="1">
      <w:start w:val="1"/>
      <w:numFmt w:val="bullet"/>
      <w:lvlText w:val=""/>
      <w:lvlJc w:val="left"/>
      <w:pPr>
        <w:ind w:left="6284" w:hanging="360"/>
      </w:pPr>
      <w:rPr>
        <w:rFonts w:ascii="Wingdings" w:hAnsi="Wingdings" w:hint="default"/>
      </w:rPr>
    </w:lvl>
  </w:abstractNum>
  <w:abstractNum w:abstractNumId="4" w15:restartNumberingAfterBreak="0">
    <w:nsid w:val="343E599D"/>
    <w:multiLevelType w:val="hybridMultilevel"/>
    <w:tmpl w:val="C5C6E09A"/>
    <w:lvl w:ilvl="0" w:tplc="B8041318">
      <w:numFmt w:val="bullet"/>
      <w:lvlText w:val="-"/>
      <w:lvlJc w:val="left"/>
      <w:pPr>
        <w:ind w:left="524" w:hanging="360"/>
      </w:pPr>
      <w:rPr>
        <w:rFonts w:ascii="Calibri" w:eastAsiaTheme="minorEastAsia" w:hAnsi="Calibri" w:cs="Calibri" w:hint="default"/>
      </w:rPr>
    </w:lvl>
    <w:lvl w:ilvl="1" w:tplc="040C0003" w:tentative="1">
      <w:start w:val="1"/>
      <w:numFmt w:val="bullet"/>
      <w:lvlText w:val="o"/>
      <w:lvlJc w:val="left"/>
      <w:pPr>
        <w:ind w:left="1244" w:hanging="360"/>
      </w:pPr>
      <w:rPr>
        <w:rFonts w:ascii="Courier New" w:hAnsi="Courier New" w:cs="Courier New" w:hint="default"/>
      </w:rPr>
    </w:lvl>
    <w:lvl w:ilvl="2" w:tplc="040C0005" w:tentative="1">
      <w:start w:val="1"/>
      <w:numFmt w:val="bullet"/>
      <w:lvlText w:val=""/>
      <w:lvlJc w:val="left"/>
      <w:pPr>
        <w:ind w:left="1964" w:hanging="360"/>
      </w:pPr>
      <w:rPr>
        <w:rFonts w:ascii="Wingdings" w:hAnsi="Wingdings" w:hint="default"/>
      </w:rPr>
    </w:lvl>
    <w:lvl w:ilvl="3" w:tplc="040C0001" w:tentative="1">
      <w:start w:val="1"/>
      <w:numFmt w:val="bullet"/>
      <w:lvlText w:val=""/>
      <w:lvlJc w:val="left"/>
      <w:pPr>
        <w:ind w:left="2684" w:hanging="360"/>
      </w:pPr>
      <w:rPr>
        <w:rFonts w:ascii="Symbol" w:hAnsi="Symbol" w:hint="default"/>
      </w:rPr>
    </w:lvl>
    <w:lvl w:ilvl="4" w:tplc="040C0003" w:tentative="1">
      <w:start w:val="1"/>
      <w:numFmt w:val="bullet"/>
      <w:lvlText w:val="o"/>
      <w:lvlJc w:val="left"/>
      <w:pPr>
        <w:ind w:left="3404" w:hanging="360"/>
      </w:pPr>
      <w:rPr>
        <w:rFonts w:ascii="Courier New" w:hAnsi="Courier New" w:cs="Courier New" w:hint="default"/>
      </w:rPr>
    </w:lvl>
    <w:lvl w:ilvl="5" w:tplc="040C0005" w:tentative="1">
      <w:start w:val="1"/>
      <w:numFmt w:val="bullet"/>
      <w:lvlText w:val=""/>
      <w:lvlJc w:val="left"/>
      <w:pPr>
        <w:ind w:left="4124" w:hanging="360"/>
      </w:pPr>
      <w:rPr>
        <w:rFonts w:ascii="Wingdings" w:hAnsi="Wingdings" w:hint="default"/>
      </w:rPr>
    </w:lvl>
    <w:lvl w:ilvl="6" w:tplc="040C0001" w:tentative="1">
      <w:start w:val="1"/>
      <w:numFmt w:val="bullet"/>
      <w:lvlText w:val=""/>
      <w:lvlJc w:val="left"/>
      <w:pPr>
        <w:ind w:left="4844" w:hanging="360"/>
      </w:pPr>
      <w:rPr>
        <w:rFonts w:ascii="Symbol" w:hAnsi="Symbol" w:hint="default"/>
      </w:rPr>
    </w:lvl>
    <w:lvl w:ilvl="7" w:tplc="040C0003" w:tentative="1">
      <w:start w:val="1"/>
      <w:numFmt w:val="bullet"/>
      <w:lvlText w:val="o"/>
      <w:lvlJc w:val="left"/>
      <w:pPr>
        <w:ind w:left="5564" w:hanging="360"/>
      </w:pPr>
      <w:rPr>
        <w:rFonts w:ascii="Courier New" w:hAnsi="Courier New" w:cs="Courier New" w:hint="default"/>
      </w:rPr>
    </w:lvl>
    <w:lvl w:ilvl="8" w:tplc="040C0005" w:tentative="1">
      <w:start w:val="1"/>
      <w:numFmt w:val="bullet"/>
      <w:lvlText w:val=""/>
      <w:lvlJc w:val="left"/>
      <w:pPr>
        <w:ind w:left="6284" w:hanging="360"/>
      </w:pPr>
      <w:rPr>
        <w:rFonts w:ascii="Wingdings" w:hAnsi="Wingdings" w:hint="default"/>
      </w:rPr>
    </w:lvl>
  </w:abstractNum>
  <w:abstractNum w:abstractNumId="5" w15:restartNumberingAfterBreak="0">
    <w:nsid w:val="34F3141A"/>
    <w:multiLevelType w:val="hybridMultilevel"/>
    <w:tmpl w:val="AC6051D2"/>
    <w:lvl w:ilvl="0" w:tplc="B8041318">
      <w:numFmt w:val="bullet"/>
      <w:lvlText w:val="-"/>
      <w:lvlJc w:val="left"/>
      <w:pPr>
        <w:ind w:left="688" w:hanging="360"/>
      </w:pPr>
      <w:rPr>
        <w:rFonts w:ascii="Calibri" w:eastAsiaTheme="minorEastAsia" w:hAnsi="Calibri" w:cs="Calibri"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6" w15:restartNumberingAfterBreak="0">
    <w:nsid w:val="3DFD62FF"/>
    <w:multiLevelType w:val="hybridMultilevel"/>
    <w:tmpl w:val="1F962576"/>
    <w:lvl w:ilvl="0" w:tplc="CD4C719C">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7" w15:restartNumberingAfterBreak="0">
    <w:nsid w:val="503718FC"/>
    <w:multiLevelType w:val="hybridMultilevel"/>
    <w:tmpl w:val="49E8C44E"/>
    <w:lvl w:ilvl="0" w:tplc="B8041318">
      <w:numFmt w:val="bullet"/>
      <w:lvlText w:val="-"/>
      <w:lvlJc w:val="left"/>
      <w:pPr>
        <w:ind w:left="884" w:hanging="360"/>
      </w:pPr>
      <w:rPr>
        <w:rFonts w:ascii="Calibri" w:eastAsiaTheme="minorEastAsia" w:hAnsi="Calibri" w:cs="Calibri"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8" w15:restartNumberingAfterBreak="0">
    <w:nsid w:val="54F159C5"/>
    <w:multiLevelType w:val="hybridMultilevel"/>
    <w:tmpl w:val="3EDAC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975BDE"/>
    <w:multiLevelType w:val="hybridMultilevel"/>
    <w:tmpl w:val="AED6EA6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2"/>
  </w:num>
  <w:num w:numId="4">
    <w:abstractNumId w:val="0"/>
  </w:num>
  <w:num w:numId="5">
    <w:abstractNumId w:val="1"/>
  </w:num>
  <w:num w:numId="6">
    <w:abstractNumId w:val="6"/>
  </w:num>
  <w:num w:numId="7">
    <w:abstractNumId w:val="4"/>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32"/>
    <w:rsid w:val="00125409"/>
    <w:rsid w:val="00246078"/>
    <w:rsid w:val="003308DB"/>
    <w:rsid w:val="005B5D83"/>
    <w:rsid w:val="006C57A9"/>
    <w:rsid w:val="006D3C2A"/>
    <w:rsid w:val="007129C5"/>
    <w:rsid w:val="00852858"/>
    <w:rsid w:val="00CF2132"/>
    <w:rsid w:val="00D63DED"/>
    <w:rsid w:val="00DF5D33"/>
    <w:rsid w:val="00F82C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4E99"/>
  <w15:docId w15:val="{F01248E4-CC02-4F7C-9AC6-48AA700E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F2132"/>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F2132"/>
    <w:rPr>
      <w:color w:val="0563C1" w:themeColor="hyperlink"/>
      <w:u w:val="single"/>
    </w:rPr>
  </w:style>
  <w:style w:type="paragraph" w:styleId="Textedebulles">
    <w:name w:val="Balloon Text"/>
    <w:basedOn w:val="Normal"/>
    <w:link w:val="TextedebullesCar"/>
    <w:uiPriority w:val="99"/>
    <w:semiHidden/>
    <w:unhideWhenUsed/>
    <w:rsid w:val="006C57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57A9"/>
    <w:rPr>
      <w:rFonts w:ascii="Tahoma" w:hAnsi="Tahoma" w:cs="Tahoma"/>
      <w:sz w:val="16"/>
      <w:szCs w:val="16"/>
    </w:rPr>
  </w:style>
  <w:style w:type="paragraph" w:styleId="Paragraphedeliste">
    <w:name w:val="List Paragraph"/>
    <w:basedOn w:val="Normal"/>
    <w:uiPriority w:val="34"/>
    <w:qFormat/>
    <w:rsid w:val="00852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972</TotalTime>
  <Pages>2</Pages>
  <Words>598</Words>
  <Characters>3292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FOUQUE, Sophie (IGAS/SECRETARIAT GENERAL/GESTION RESSOURCES HUMAINES)</dc:creator>
  <cp:lastModifiedBy>ANNIC, Maud (IGAS/INSPECTANTS)</cp:lastModifiedBy>
  <cp:revision>3</cp:revision>
  <dcterms:created xsi:type="dcterms:W3CDTF">2020-02-13T16:07:00Z</dcterms:created>
  <dcterms:modified xsi:type="dcterms:W3CDTF">2020-02-14T16:33:00Z</dcterms:modified>
</cp:coreProperties>
</file>